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40" w:before="8" w:after="8"/>
        <w:rPr>
          <w:sz w:val="20"/>
          <w:sz w:val="20"/>
          <w:szCs w:val="20"/>
          <w:rFonts w:ascii="Palatino Linotype" w:hAnsi="Palatino Linotype" w:eastAsia="Arial Unicode MS" w:cs="Arial Unicode MS"/>
          <w:color w:val="000000"/>
          <w:lang w:eastAsia="ro-RO"/>
        </w:rPr>
      </w:pPr>
      <w:bookmarkStart w:id="0" w:name="_GoBack"/>
      <w:bookmarkStart w:id="1" w:name="_GoBack"/>
      <w:bookmarkEnd w:id="1"/>
      <w:r>
        <w:rPr>
          <w:rFonts w:ascii="Palatino Linotype" w:hAnsi="Palatino Linotype"/>
          <w:sz w:val="20"/>
          <w:szCs w:val="20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exact" w:line="220" w:before="0" w:after="200"/>
        <w:jc w:val="right"/>
      </w:pPr>
      <w:r>
        <w:rPr>
          <w:rFonts w:ascii="Palatino Linotype" w:hAnsi="Palatino Linotype"/>
          <w:sz w:val="20"/>
          <w:szCs w:val="20"/>
        </w:rPr>
        <w:t xml:space="preserve">Anexa </w:t>
      </w:r>
      <w:r>
        <w:rPr>
          <w:rFonts w:ascii="Palatino Linotype" w:hAnsi="Palatino Linotype"/>
          <w:sz w:val="20"/>
          <w:szCs w:val="20"/>
        </w:rPr>
        <w:t>2</w:t>
      </w:r>
      <w:r>
        <w:rPr>
          <w:rFonts w:ascii="Palatino Linotype" w:hAnsi="Palatino Linotype"/>
          <w:sz w:val="20"/>
          <w:szCs w:val="20"/>
        </w:rPr>
        <w:t>.1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exact" w:line="220" w:before="0" w:after="200"/>
        <w:ind w:right="-142" w:hanging="0"/>
        <w:jc w:val="right"/>
        <w:rPr>
          <w:sz w:val="20"/>
          <w:sz w:val="20"/>
          <w:szCs w:val="20"/>
          <w:rFonts w:ascii="Palatino Linotype" w:hAnsi="Palatino Linotype"/>
        </w:rPr>
      </w:pPr>
      <w:r>
        <w:rPr>
          <w:rFonts w:ascii="Palatino Linotype" w:hAnsi="Palatino Linotype"/>
          <w:sz w:val="20"/>
          <w:szCs w:val="20"/>
        </w:rPr>
        <w:t>La cererea de finanțare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exact" w:line="220" w:before="0" w:after="200"/>
        <w:jc w:val="right"/>
        <w:rPr>
          <w:sz w:val="20"/>
          <w:sz w:val="20"/>
          <w:szCs w:val="20"/>
          <w:rFonts w:ascii="Palatino Linotype" w:hAnsi="Palatino Linotype"/>
        </w:rPr>
      </w:pPr>
      <w:r>
        <w:rPr>
          <w:rFonts w:ascii="Palatino Linotype" w:hAnsi="Palatino Linotype"/>
          <w:sz w:val="20"/>
          <w:szCs w:val="20"/>
        </w:rPr>
        <w:tab/>
        <w:tab/>
        <w:tab/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exact" w:line="274" w:before="0" w:after="0"/>
        <w:jc w:val="center"/>
        <w:rPr>
          <w:sz w:val="20"/>
          <w:sz w:val="20"/>
          <w:szCs w:val="20"/>
          <w:rFonts w:ascii="Palatino Linotype" w:hAnsi="Palatino Linotype"/>
        </w:rPr>
      </w:pPr>
      <w:r>
        <w:rPr>
          <w:rFonts w:ascii="Palatino Linotype" w:hAnsi="Palatino Linotype"/>
          <w:sz w:val="20"/>
          <w:szCs w:val="20"/>
        </w:rPr>
        <w:t>BUGETUL DE VENITURI ŞI CHELTUIELI - estimat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7541" w:leader="dot"/>
        </w:tabs>
        <w:jc w:val="center"/>
        <w:rPr>
          <w:sz w:val="20"/>
          <w:sz w:val="20"/>
          <w:szCs w:val="20"/>
          <w:rFonts w:ascii="Palatino Linotype" w:hAnsi="Palatino Linotype"/>
        </w:rPr>
      </w:pPr>
      <w:r>
        <w:rPr>
          <w:rFonts w:ascii="Palatino Linotype" w:hAnsi="Palatino Linotype"/>
        </w:rPr>
        <w:t>al structurii sportive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3547" w:leader="dot"/>
        </w:tabs>
        <w:rPr>
          <w:sz w:val="22"/>
          <w:sz w:val="22"/>
          <w:szCs w:val="22"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3547" w:leader="dot"/>
        </w:tabs>
        <w:rPr>
          <w:rFonts w:ascii="Palatino Linotype" w:hAnsi="Palatino Linotype"/>
        </w:rPr>
      </w:pPr>
      <w:r>
        <w:rPr>
          <w:rFonts w:ascii="Palatino Linotype" w:hAnsi="Palatino Linotype"/>
        </w:rPr>
        <w:t>Programul</w:t>
        <w:tab/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7800" w:leader="dot"/>
        </w:tabs>
        <w:spacing w:lineRule="exact" w:line="552"/>
        <w:ind w:right="1400" w:hanging="0"/>
        <w:jc w:val="lef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Perioada şi locul desfăşurării</w:t>
        <w:tab/>
        <w:t xml:space="preserve">.................. 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7800" w:leader="dot"/>
        </w:tabs>
        <w:spacing w:lineRule="auto" w:line="240"/>
        <w:ind w:right="1400" w:hanging="0"/>
        <w:jc w:val="left"/>
        <w:rPr>
          <w:sz w:val="22"/>
          <w:sz w:val="22"/>
          <w:szCs w:val="22"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tbl>
      <w:tblPr>
        <w:tblpPr w:bottomFromText="0" w:horzAnchor="margin" w:leftFromText="180" w:rightFromText="180" w:tblpX="0" w:tblpXSpec="" w:tblpY="549" w:tblpYSpec="" w:topFromText="0" w:vertAnchor="text"/>
        <w:tblW w:w="9072" w:type="dxa"/>
        <w:jc w:val="left"/>
        <w:tblInd w:w="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608"/>
        <w:gridCol w:w="3149"/>
        <w:gridCol w:w="1082"/>
        <w:gridCol w:w="1165"/>
        <w:gridCol w:w="1305"/>
        <w:gridCol w:w="1762"/>
      </w:tblGrid>
      <w:tr>
        <w:trPr>
          <w:trHeight w:val="595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 w:before="0" w:after="60"/>
              <w:jc w:val="center"/>
              <w:rPr>
                <w:sz w:val="20"/>
                <w:sz w:val="20"/>
                <w:szCs w:val="20"/>
                <w:rFonts w:ascii="Palatino Linotype" w:hAnsi="Palatino Linotype" w:eastAsia="Times New Roman" w:cs="Times New Roman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Nr.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 w:before="60" w:after="0"/>
              <w:jc w:val="center"/>
              <w:rPr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crt.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left"/>
              <w:rPr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Denumire indicatori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190"/>
              <w:jc w:val="center"/>
              <w:rPr>
                <w:b/>
                <w:b/>
                <w:rFonts w:ascii="Palatino Linotype" w:hAnsi="Palatino Linotype"/>
              </w:rPr>
            </w:pPr>
            <w:r>
              <w:rPr>
                <w:rStyle w:val="Szvegtrzs29"/>
                <w:rFonts w:ascii="Palatino Linotype" w:hAnsi="Palatino Linotype"/>
                <w:b/>
                <w:sz w:val="20"/>
                <w:szCs w:val="20"/>
              </w:rPr>
              <w:t>TOTAL</w:t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190" w:before="60" w:after="0"/>
              <w:jc w:val="center"/>
              <w:rPr>
                <w:b/>
                <w:b/>
                <w:rFonts w:ascii="Palatino Linotype" w:hAnsi="Palatino Linotype"/>
              </w:rPr>
            </w:pPr>
            <w:r>
              <w:rPr>
                <w:rStyle w:val="Szvegtrzs29"/>
                <w:rFonts w:ascii="Palatino Linotype" w:hAnsi="Palatino Linotype"/>
                <w:b/>
                <w:sz w:val="20"/>
                <w:szCs w:val="20"/>
                <w:lang w:eastAsia="en-US"/>
              </w:rPr>
              <w:t>Anul 1</w:t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190" w:before="60" w:after="0"/>
              <w:ind w:left="200" w:hanging="0"/>
              <w:jc w:val="center"/>
              <w:rPr>
                <w:b/>
                <w:b/>
                <w:rFonts w:ascii="Palatino Linotype" w:hAnsi="Palatino Linotype"/>
              </w:rPr>
            </w:pPr>
            <w:r>
              <w:rPr>
                <w:rStyle w:val="Szvegtrzs29"/>
                <w:rFonts w:ascii="Palatino Linotype" w:hAnsi="Palatino Linotype"/>
                <w:b/>
                <w:sz w:val="20"/>
                <w:szCs w:val="20"/>
                <w:lang w:eastAsia="en-US"/>
              </w:rPr>
              <w:t>Anul 2</w:t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190"/>
              <w:jc w:val="center"/>
              <w:rPr>
                <w:b/>
                <w:b/>
                <w:rFonts w:ascii="Palatino Linotype" w:hAnsi="Palatino Linotype"/>
              </w:rPr>
            </w:pPr>
            <w:r>
              <w:rPr>
                <w:rStyle w:val="Szvegtrzs29"/>
                <w:rFonts w:ascii="Palatino Linotype" w:hAnsi="Palatino Linotype"/>
                <w:b/>
                <w:sz w:val="20"/>
                <w:szCs w:val="20"/>
              </w:rPr>
              <w:t>OBSERVAŢII</w:t>
            </w:r>
            <w:r/>
          </w:p>
        </w:tc>
      </w:tr>
      <w:tr>
        <w:trPr>
          <w:trHeight w:val="571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I.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78"/>
              <w:jc w:val="left"/>
              <w:rPr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VENITURI – TOTAL (1+2), din care: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62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1.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78"/>
              <w:jc w:val="left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Contribuţia beneficiarului (a+b+c+d)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288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a).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contribuţie proprie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283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b).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donaţii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288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c).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sponsorizări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283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d).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alte surse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66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2.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83"/>
              <w:jc w:val="left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Finanţare nerambursabila din bugetul local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62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II.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78"/>
              <w:jc w:val="left"/>
              <w:rPr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CHELTUIELI - TOTAL, din care: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2258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1.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Cheltuieli pentru plata participanților la activitatea sportivă, efectuate după caz, în baza unui contract individual de muncă sau a unui contract de activitate sportivă – aplicabil numai pentru structurile sportive în care finanțatorul deține participații.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62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2.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  <w:lang w:val="ro-RO"/>
              </w:rPr>
              <w:t>Cheltuieli de transport: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62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3.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  <w:lang w:val="ro-RO"/>
              </w:rPr>
              <w:t>Cheltuieli de cazare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62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4.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  <w:lang w:val="ro-RO"/>
              </w:rPr>
              <w:t>Cheltuieli de masă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62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5.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  <w:lang w:val="ro-RO"/>
              </w:rPr>
              <w:t>Cheltuieli privind alimentaţia de efort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856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6.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  <w:lang w:val="ro-RO"/>
              </w:rPr>
              <w:t>Cheltuieli privind plata arbitrilor, medicilor şi a altor persoane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1290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7.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  <w:lang w:val="ro-RO"/>
              </w:rPr>
              <w:t>Cheltuieli privind asigurarea persoanelor, a materialelor şi a echipamentului sportiv şi a altor bunuri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865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8.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  <w:lang w:val="ro-RO"/>
              </w:rPr>
              <w:t>Cheltuieli pentru achiziţionarea de materiale şi echipament sportiv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712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9.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Cheltuieli medicale şi pentru controlul doping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283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10.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Alte categorii de cheltuieli: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854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</w:rPr>
              <w:t>pentru organizarea, respectiv desfășurarea acțiunilor sportive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2236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</w:rPr>
              <w:t>pentru realizarea acţiunilor de cercetare, documentare, informare, promovare, consultanţă în domeniul sportului, pentru formarea şi perfecţionarea personalului de specialitate, precum şi a celorlalte acţiuni sportive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850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</w:rPr>
              <w:t>cadouri oferite delegațiilor sportive străine la acţiunile sportive internaţionale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706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MT" w:ascii="Palatino Linotype" w:hAnsi="Palatino Linotype"/>
                <w:sz w:val="20"/>
                <w:szCs w:val="20"/>
              </w:rPr>
              <w:t>cheltuieli pentru materiale de promovare a activității sportive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717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11.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cs="TimesNewRomanPS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Premii, indemnizații sportive, prime și alte drepturi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57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1pt"/>
                <w:rFonts w:ascii="Palatino Linotype" w:hAnsi="Palatino Linotype"/>
                <w:sz w:val="20"/>
                <w:szCs w:val="20"/>
              </w:rPr>
              <w:t>12.</w:t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Î</w:t>
            </w:r>
            <w:r>
              <w:rPr>
                <w:rFonts w:cs="TimesNewRomanPS-BoldItalicMT" w:ascii="Palatino Linotype" w:hAnsi="Palatino Linotype"/>
                <w:b/>
                <w:bCs/>
                <w:iCs/>
                <w:sz w:val="20"/>
                <w:szCs w:val="20"/>
              </w:rPr>
              <w:t>ndemnizații sportive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437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Total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415" w:hRule="exact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3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%</w:t>
            </w:r>
            <w:r/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20"/>
              <w:jc w:val="center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1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</w:tbl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7800" w:leader="dot"/>
        </w:tabs>
        <w:spacing w:lineRule="exact" w:line="552"/>
        <w:ind w:right="1400" w:hanging="0"/>
        <w:jc w:val="left"/>
        <w:rPr>
          <w:sz w:val="22"/>
          <w:sz w:val="22"/>
          <w:szCs w:val="22"/>
          <w:rFonts w:ascii="Palatino Linotype" w:hAnsi="Palatino Linotype" w:eastAsia="Times New Roman" w:cs="Times New Roman"/>
          <w:color w:val="00000A"/>
          <w:lang w:eastAsia="en-US"/>
        </w:rPr>
      </w:pPr>
      <w:r>
        <w:rPr>
          <w:rFonts w:eastAsia="Times New Roman" w:cs="Times New Roman" w:ascii="Palatino Linotype" w:hAnsi="Palatino Linotype"/>
        </w:rPr>
      </w:r>
      <w:r/>
    </w:p>
    <w:p>
      <w:pPr>
        <w:pStyle w:val="Normal"/>
        <w:rPr>
          <w:sz w:val="20"/>
          <w:sz w:val="20"/>
          <w:szCs w:val="20"/>
          <w:rFonts w:ascii="Palatino Linotype" w:hAnsi="Palatino Linotype" w:eastAsia="Arial Unicode MS" w:cs="Arial Unicode MS"/>
          <w:color w:val="000000"/>
          <w:lang w:eastAsia="ro-RO"/>
        </w:rPr>
      </w:pPr>
      <w:r>
        <w:rPr>
          <w:rFonts w:ascii="Palatino Linotype" w:hAnsi="Palatino Linotype"/>
          <w:sz w:val="20"/>
          <w:szCs w:val="20"/>
        </w:rPr>
      </w:r>
      <w:r/>
    </w:p>
    <w:p>
      <w:pPr>
        <w:pStyle w:val="Normal"/>
        <w:rPr>
          <w:sz w:val="20"/>
          <w:sz w:val="20"/>
          <w:szCs w:val="20"/>
          <w:rFonts w:ascii="Palatino Linotype" w:hAnsi="Palatino Linotype" w:eastAsia="Arial Unicode MS" w:cs="Arial Unicode MS"/>
          <w:color w:val="000000"/>
          <w:lang w:eastAsia="ro-RO"/>
        </w:rPr>
      </w:pPr>
      <w:r>
        <w:rPr>
          <w:rFonts w:ascii="Palatino Linotype" w:hAnsi="Palatino Linotype"/>
          <w:sz w:val="20"/>
          <w:szCs w:val="20"/>
        </w:rPr>
      </w:r>
      <w:r/>
    </w:p>
    <w:p>
      <w:pPr>
        <w:pStyle w:val="Normal"/>
        <w:rPr>
          <w:sz w:val="20"/>
          <w:sz w:val="20"/>
          <w:szCs w:val="20"/>
          <w:rFonts w:ascii="Palatino Linotype" w:hAnsi="Palatino Linotype" w:eastAsia="Arial Unicode MS" w:cs="Arial Unicode MS"/>
          <w:color w:val="000000"/>
          <w:lang w:eastAsia="ro-RO"/>
        </w:rPr>
      </w:pPr>
      <w:r>
        <w:rPr>
          <w:rFonts w:ascii="Palatino Linotype" w:hAnsi="Palatino Linotype"/>
          <w:sz w:val="20"/>
          <w:szCs w:val="20"/>
        </w:rPr>
      </w:r>
      <w:r/>
    </w:p>
    <w:p>
      <w:pPr>
        <w:pStyle w:val="Normal"/>
        <w:rPr>
          <w:sz w:val="20"/>
          <w:sz w:val="20"/>
          <w:szCs w:val="20"/>
          <w:rFonts w:ascii="Palatino Linotype" w:hAnsi="Palatino Linotype" w:eastAsia="Arial Unicode MS" w:cs="Arial Unicode MS"/>
          <w:color w:val="000000"/>
          <w:lang w:eastAsia="ro-RO"/>
        </w:rPr>
      </w:pPr>
      <w:r>
        <w:rPr>
          <w:rFonts w:ascii="Palatino Linotype" w:hAnsi="Palatino Linotype"/>
          <w:sz w:val="20"/>
          <w:szCs w:val="20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rPr>
          <w:sz w:val="20"/>
          <w:b/>
          <w:sz w:val="20"/>
          <w:b/>
          <w:szCs w:val="20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  <w:sz w:val="20"/>
          <w:szCs w:val="20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sz w:val="22"/>
          <w:b/>
          <w:sz w:val="22"/>
          <w:b/>
          <w:szCs w:val="22"/>
          <w:bCs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Detalierea cheltuielilor cu evidenţierea surselor de finanţare pe fiecare categorie de cheltuială: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7800" w:leader="dot"/>
        </w:tabs>
        <w:spacing w:lineRule="auto" w:line="240"/>
        <w:ind w:right="1400" w:hanging="0"/>
        <w:jc w:val="left"/>
        <w:rPr>
          <w:sz w:val="22"/>
          <w:sz w:val="22"/>
          <w:szCs w:val="22"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tbl>
      <w:tblPr>
        <w:tblpPr w:bottomFromText="0" w:horzAnchor="margin" w:leftFromText="180" w:rightFromText="180" w:tblpX="0" w:tblpXSpec="" w:tblpY="329" w:tblpYSpec="" w:topFromText="0" w:vertAnchor="text"/>
        <w:tblW w:w="9072" w:type="dxa"/>
        <w:jc w:val="left"/>
        <w:tblInd w:w="1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626"/>
        <w:gridCol w:w="2403"/>
        <w:gridCol w:w="680"/>
        <w:gridCol w:w="894"/>
        <w:gridCol w:w="1"/>
        <w:gridCol w:w="765"/>
        <w:gridCol w:w="636"/>
        <w:gridCol w:w="1"/>
        <w:gridCol w:w="765"/>
        <w:gridCol w:w="766"/>
        <w:gridCol w:w="1"/>
        <w:gridCol w:w="764"/>
        <w:gridCol w:w="769"/>
      </w:tblGrid>
      <w:tr>
        <w:trPr>
          <w:trHeight w:val="836" w:hRule="atLeast"/>
        </w:trPr>
        <w:tc>
          <w:tcPr>
            <w:tcW w:w="6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 w:before="0" w:after="60"/>
              <w:jc w:val="center"/>
              <w:rPr>
                <w:sz w:val="20"/>
                <w:sz w:val="20"/>
                <w:szCs w:val="20"/>
                <w:rFonts w:ascii="Palatino Linotype" w:hAnsi="Palatino Linotype" w:eastAsia="Times New Roman" w:cs="Times New Roman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Nr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 w:before="60" w:after="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crt</w:t>
            </w:r>
            <w:r/>
          </w:p>
        </w:tc>
        <w:tc>
          <w:tcPr>
            <w:tcW w:w="24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 w:before="0" w:after="60"/>
              <w:jc w:val="center"/>
              <w:rPr>
                <w:sz w:val="20"/>
                <w:sz w:val="20"/>
                <w:szCs w:val="20"/>
                <w:rFonts w:ascii="Palatino Linotype" w:hAnsi="Palatino Linotype" w:eastAsia="Times New Roman" w:cs="Times New Roman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Categoria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 w:before="60" w:after="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bugetara</w:t>
            </w:r>
            <w:r/>
          </w:p>
        </w:tc>
        <w:tc>
          <w:tcPr>
            <w:tcW w:w="15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 w:before="0" w:after="60"/>
              <w:jc w:val="center"/>
              <w:rPr>
                <w:sz w:val="20"/>
                <w:sz w:val="20"/>
                <w:szCs w:val="20"/>
                <w:rFonts w:ascii="Palatino Linotype" w:hAnsi="Palatino Linotype" w:eastAsia="Times New Roman" w:cs="Times New Roman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Contribuţie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 w:before="60" w:after="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finanţator</w:t>
            </w:r>
            <w:r/>
          </w:p>
        </w:tc>
        <w:tc>
          <w:tcPr>
            <w:tcW w:w="1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Contribuţia proprie a Beneficiarului</w:t>
            </w:r>
            <w:r/>
          </w:p>
        </w:tc>
        <w:tc>
          <w:tcPr>
            <w:tcW w:w="15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Alte surse</w:t>
            </w:r>
            <w:r/>
          </w:p>
        </w:tc>
        <w:tc>
          <w:tcPr>
            <w:tcW w:w="15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 w:before="0" w:after="60"/>
              <w:jc w:val="center"/>
              <w:rPr>
                <w:sz w:val="20"/>
                <w:sz w:val="20"/>
                <w:szCs w:val="20"/>
                <w:rFonts w:ascii="Palatino Linotype" w:hAnsi="Palatino Linotype" w:eastAsia="Times New Roman" w:cs="Times New Roman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Total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 w:before="60" w:after="0"/>
              <w:jc w:val="center"/>
              <w:rPr>
                <w:rFonts w:ascii="Palatino Linotype" w:hAnsi="Palatino Linotype"/>
              </w:rPr>
            </w:pPr>
            <w:r>
              <w:rPr>
                <w:rStyle w:val="Szvegtrzs21"/>
                <w:rFonts w:ascii="Palatino Linotype" w:hAnsi="Palatino Linotype"/>
                <w:sz w:val="20"/>
                <w:szCs w:val="20"/>
              </w:rPr>
              <w:t>buget</w:t>
            </w:r>
            <w:r/>
          </w:p>
        </w:tc>
      </w:tr>
      <w:tr>
        <w:trPr>
          <w:trHeight w:val="586" w:hRule="exact"/>
        </w:trPr>
        <w:tc>
          <w:tcPr>
            <w:tcW w:w="6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/>
              <w:rPr>
                <w:sz w:val="20"/>
                <w:sz w:val="20"/>
                <w:szCs w:val="20"/>
                <w:rFonts w:ascii="Palatino Linotype" w:hAnsi="Palatino Linotype" w:eastAsia="Times New Roman" w:cs="Times New Roman"/>
                <w:color w:val="00000A"/>
                <w:lang w:eastAsia="ro-RO"/>
              </w:rPr>
            </w:pPr>
            <w:r>
              <w:rPr>
                <w:rFonts w:eastAsia="Times New Roman" w:cs="Times New Roman" w:ascii="Palatino Linotype" w:hAnsi="Palatino Linotype"/>
                <w:color w:val="00000A"/>
                <w:sz w:val="20"/>
                <w:szCs w:val="20"/>
              </w:rPr>
            </w:r>
            <w:r/>
          </w:p>
        </w:tc>
        <w:tc>
          <w:tcPr>
            <w:tcW w:w="240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widowControl/>
              <w:rPr>
                <w:sz w:val="20"/>
                <w:sz w:val="20"/>
                <w:szCs w:val="20"/>
                <w:rFonts w:ascii="Palatino Linotype" w:hAnsi="Palatino Linotype" w:eastAsia="Times New Roman" w:cs="Times New Roman"/>
                <w:color w:val="00000A"/>
                <w:lang w:eastAsia="ro-RO"/>
              </w:rPr>
            </w:pPr>
            <w:r>
              <w:rPr>
                <w:rFonts w:eastAsia="Times New Roman" w:cs="Times New Roman" w:ascii="Palatino Linotype" w:hAnsi="Palatino Linotype"/>
                <w:color w:val="00000A"/>
                <w:sz w:val="20"/>
                <w:szCs w:val="20"/>
              </w:rPr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Anul 1</w:t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Anul 2</w:t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Anul 1</w:t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Anul 2</w:t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Anul 1</w:t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Anul 2</w:t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Anul 1</w:t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 w:val="20"/>
                <w:szCs w:val="20"/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Anul 2</w:t>
            </w:r>
            <w:r/>
          </w:p>
        </w:tc>
      </w:tr>
      <w:tr>
        <w:trPr>
          <w:trHeight w:val="2824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19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</w:rPr>
              <w:t>Cheltuieli pentru plata participanților la activitatea sportivă, efectuate după caz, în baza unui contract individual de muncă sau a unui contract de activitate sportivă – aplicabil numai pentru structurile sportive în care finanțatorul deține participații.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23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190"/>
              <w:jc w:val="left"/>
              <w:rPr>
                <w:rFonts w:ascii="Palatino Linotype" w:hAnsi="Palatino Linotype" w:eastAsia="" w:eastAsiaTheme="minorEastAsia"/>
              </w:rPr>
            </w:pPr>
            <w:r>
              <w:rPr>
                <w:rStyle w:val="Szvegtrzs2Impact"/>
                <w:rFonts w:eastAsia="Calibri" w:ascii="Palatino Linotype" w:hAnsi="Palatino Linotype" w:eastAsiaTheme="minorHAnsi"/>
              </w:rPr>
              <w:t>2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  <w:t>Cheltuieli de transport: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393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  <w:t>Cheltuieli de cazare</w:t>
            </w:r>
            <w:r/>
          </w:p>
          <w:p>
            <w:pPr>
              <w:pStyle w:val="ListParagraph"/>
              <w:ind w:left="47" w:hanging="0"/>
              <w:rPr>
                <w:sz w:val="20"/>
                <w:sz w:val="20"/>
                <w:szCs w:val="20"/>
                <w:bCs/>
                <w:rFonts w:ascii="Palatino Linotype" w:hAnsi="Palatino Linotype" w:eastAsia="Times New Roman" w:cs="TimesNewRomanPS-BoldMT"/>
                <w:color w:val="00000A"/>
                <w:lang w:val="ro-RO" w:eastAsia="en-US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401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  <w:t>Cheltuieli de masă</w:t>
            </w:r>
            <w:r/>
          </w:p>
          <w:p>
            <w:pPr>
              <w:pStyle w:val="ListParagraph"/>
              <w:ind w:left="0" w:hanging="0"/>
              <w:rPr>
                <w:sz w:val="20"/>
                <w:sz w:val="20"/>
                <w:szCs w:val="20"/>
                <w:bCs/>
                <w:rFonts w:ascii="Palatino Linotype" w:hAnsi="Palatino Linotype" w:eastAsia="Times New Roman" w:cs="TimesNewRomanPS-BoldMT"/>
                <w:color w:val="00000A"/>
                <w:lang w:val="ro-RO" w:eastAsia="en-US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688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  <w:t>Cheltuieli privind alimentaţia de efort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809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  <w:t>Cheltuieli privind plata arbitrilor, medicilor şi a altor persoane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1133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  <w:t>Cheltuieli privind asigurarea persoanelor, a materialelor şi a echipamentului sportiv şi a altor bunuri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851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ListParagraph"/>
              <w:ind w:left="0" w:hanging="0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  <w:lang w:val="ro-RO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  <w:lang w:val="ro-RO"/>
              </w:rPr>
              <w:t>Cheltuieli pentru achiziţionarea de materiale şi echipament sportiv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565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</w:rPr>
              <w:t>Cheltuieli medicale şi pentru controlul doping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418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</w:rPr>
              <w:t>Alte categorii de cheltuieli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849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cs="TimesNewRomanPSMT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</w:rPr>
              <w:t>Premii, indemnizații sportive, prime și alte drepturi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421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</w:t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Cs/>
                <w:sz w:val="20"/>
                <w:szCs w:val="20"/>
              </w:rPr>
              <w:t>Î</w:t>
            </w:r>
            <w:r>
              <w:rPr>
                <w:rFonts w:cs="TimesNewRomanPS-BoldItalicMT" w:ascii="Palatino Linotype" w:hAnsi="Palatino Linotype"/>
                <w:bCs/>
                <w:iCs/>
                <w:sz w:val="20"/>
                <w:szCs w:val="20"/>
              </w:rPr>
              <w:t>ndemnizații sportive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312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bottom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TOTAL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  <w:tr>
        <w:trPr>
          <w:trHeight w:val="312" w:hRule="exact"/>
        </w:trPr>
        <w:tc>
          <w:tcPr>
            <w:tcW w:w="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bottom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exact" w:line="240"/>
              <w:jc w:val="left"/>
              <w:rPr>
                <w:sz w:val="22"/>
                <w:sz w:val="22"/>
                <w:szCs w:val="22"/>
                <w:rFonts w:ascii="Palatino Linotype" w:hAnsi="Palatino Linotype" w:eastAsia="Calibri" w:cs="" w:cstheme="minorBidi" w:eastAsiaTheme="minorHAnsi"/>
                <w:color w:val="00000A"/>
                <w:lang w:eastAsia="en-US"/>
              </w:rPr>
            </w:pPr>
            <w:r>
              <w:rPr>
                <w:rFonts w:ascii="Palatino Linotype" w:hAnsi="Palatino Linotype"/>
              </w:rPr>
            </w:r>
            <w:r/>
          </w:p>
        </w:tc>
        <w:tc>
          <w:tcPr>
            <w:tcW w:w="2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b/>
                <w:sz w:val="20"/>
                <w:b/>
                <w:szCs w:val="20"/>
                <w:bCs/>
                <w:rFonts w:ascii="Palatino Linotype" w:hAnsi="Palatino Linotype" w:cs="TimesNewRomanPS-BoldMT"/>
              </w:rPr>
            </w:pPr>
            <w:r>
              <w:rPr>
                <w:rFonts w:cs="TimesNewRomanPS-BoldMT" w:ascii="Palatino Linotype" w:hAnsi="Palatino Linotype"/>
                <w:b/>
                <w:bCs/>
                <w:sz w:val="20"/>
                <w:szCs w:val="20"/>
              </w:rPr>
              <w:t>%</w:t>
            </w:r>
            <w:r/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  <w:tc>
          <w:tcPr>
            <w:tcW w:w="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0"/>
                <w:sz w:val="20"/>
                <w:szCs w:val="20"/>
                <w:rFonts w:ascii="Palatino Linotype" w:hAnsi="Palatino Linotype" w:eastAsia="Arial Unicode MS" w:cs="Arial Unicode MS"/>
                <w:color w:val="000000"/>
                <w:lang w:eastAsia="ro-RO"/>
              </w:rPr>
            </w:pPr>
            <w:r>
              <w:rPr>
                <w:rFonts w:ascii="Palatino Linotype" w:hAnsi="Palatino Linotype"/>
                <w:sz w:val="20"/>
                <w:szCs w:val="20"/>
              </w:rPr>
            </w:r>
            <w:r/>
          </w:p>
        </w:tc>
      </w:tr>
    </w:tbl>
    <w:p>
      <w:pPr>
        <w:pStyle w:val="Normal"/>
        <w:rPr>
          <w:sz w:val="20"/>
          <w:sz w:val="20"/>
          <w:szCs w:val="20"/>
          <w:rFonts w:ascii="Palatino Linotype" w:hAnsi="Palatino Linotype" w:eastAsia="Arial Unicode MS" w:cs="Arial Unicode MS"/>
          <w:color w:val="000000"/>
          <w:lang w:eastAsia="ro-RO"/>
        </w:rPr>
      </w:pPr>
      <w:r>
        <w:rPr>
          <w:rFonts w:ascii="Palatino Linotype" w:hAnsi="Palatino Linotype"/>
          <w:sz w:val="20"/>
          <w:szCs w:val="20"/>
        </w:rPr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exact" w:line="240"/>
        <w:ind w:right="-993" w:hanging="0"/>
        <w:jc w:val="left"/>
      </w:pPr>
      <w:r>
        <w:rPr>
          <w:rStyle w:val="Szvegtrzs2Exact"/>
          <w:rFonts w:ascii="Palatino Linotype" w:hAnsi="Palatino Linotype"/>
        </w:rPr>
        <w:t xml:space="preserve">Preşedintele structurii sportive/organizaţiei sportive/organizaţiei </w:t>
        <w:tab/>
        <w:t>Responsabilul financiar al structurii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exact" w:line="240"/>
        <w:ind w:firstLine="720"/>
        <w:jc w:val="left"/>
        <w:rPr>
          <w:sz w:val="22"/>
          <w:sz w:val="22"/>
          <w:szCs w:val="22"/>
          <w:rFonts w:ascii="Palatino Linotype" w:hAnsi="Palatino Linotype" w:eastAsia="Calibri" w:cs="" w:cstheme="minorBidi" w:eastAsiaTheme="minorHAnsi"/>
          <w:color w:val="00000A"/>
          <w:lang w:eastAsia="en-US"/>
        </w:rPr>
      </w:pPr>
      <w:r>
        <w:rPr>
          <w:rFonts w:ascii="Palatino Linotype" w:hAnsi="Palatino Linotype"/>
        </w:rPr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exact" w:line="240"/>
        <w:ind w:firstLine="720"/>
        <w:jc w:val="left"/>
        <w:rPr>
          <w:rFonts w:ascii="Palatino Linotype" w:hAnsi="Palatino Linotype"/>
        </w:rPr>
      </w:pPr>
      <w:r>
        <w:rPr>
          <w:rFonts w:ascii="Palatino Linotype" w:hAnsi="Palatino Linotype"/>
        </w:rPr>
        <w:t>(numele, prenumele şi semnatura)</w:t>
        <w:tab/>
        <w:tab/>
        <w:tab/>
        <w:t xml:space="preserve"> (numele, prenumele şi semnatura)</w:t>
      </w:r>
      <w:r/>
    </w:p>
    <w:p>
      <w:pPr>
        <w:pStyle w:val="Normal"/>
      </w:pPr>
      <w:r>
        <w:rPr/>
      </w:r>
      <w:r/>
    </w:p>
    <w:sectPr>
      <w:type w:val="nextPage"/>
      <w:pgSz w:w="11906" w:h="16838"/>
      <w:pgMar w:left="1417" w:right="1417" w:header="0" w:top="709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Unicode MS">
    <w:charset w:val="00"/>
    <w:family w:val="roman"/>
    <w:pitch w:val="variable"/>
  </w:font>
  <w:font w:name="Impac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Palatino Linotype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o-RO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8f042b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sz w:val="24"/>
      <w:szCs w:val="24"/>
      <w:lang w:eastAsia="ro-RO" w:val="ro-RO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zvegtrzs2" w:customStyle="1">
    <w:name w:val="Szövegtörzs (2)_"/>
    <w:link w:val="Szvegtrzs21"/>
    <w:locked/>
    <w:rsid w:val="008f042b"/>
    <w:rPr>
      <w:shd w:fill="FFFFFF" w:val="clear"/>
    </w:rPr>
  </w:style>
  <w:style w:type="character" w:styleId="Szvegtrzs3" w:customStyle="1">
    <w:name w:val="Szövegtörzs (3)_"/>
    <w:link w:val="Szvegtrzs30"/>
    <w:locked/>
    <w:rsid w:val="008f042b"/>
    <w:rPr>
      <w:shd w:fill="FFFFFF" w:val="clear"/>
    </w:rPr>
  </w:style>
  <w:style w:type="character" w:styleId="Tblzatfelirata" w:customStyle="1">
    <w:name w:val="Táblázat felirata_"/>
    <w:link w:val="Tblzatfelirata0"/>
    <w:locked/>
    <w:rsid w:val="008f042b"/>
    <w:rPr>
      <w:shd w:fill="FFFFFF" w:val="clear"/>
    </w:rPr>
  </w:style>
  <w:style w:type="character" w:styleId="Szvegtrzs2Exact" w:customStyle="1">
    <w:name w:val="Szövegtörzs (2) Exact"/>
    <w:rsid w:val="008f042b"/>
    <w:rPr>
      <w:rFonts w:ascii="Times New Roman" w:hAnsi="Times New Roman" w:cs="Times New Roman"/>
      <w:strike w:val="false"/>
      <w:dstrike w:val="false"/>
      <w:u w:val="none"/>
      <w:effect w:val="none"/>
    </w:rPr>
  </w:style>
  <w:style w:type="character" w:styleId="Szvegtrzs211pt" w:customStyle="1">
    <w:name w:val="Szövegtörzs (2) + 11 pt"/>
    <w:rsid w:val="008f042b"/>
    <w:rPr>
      <w:b/>
      <w:bCs/>
      <w:color w:val="000000"/>
      <w:spacing w:val="0"/>
      <w:w w:val="100"/>
      <w:sz w:val="22"/>
      <w:szCs w:val="22"/>
      <w:lang w:val="ro-RO" w:eastAsia="ro-RO" w:bidi="ar-SA"/>
    </w:rPr>
  </w:style>
  <w:style w:type="character" w:styleId="Szvegtrzs29" w:customStyle="1">
    <w:name w:val="Szövegtörzs (2) + 9"/>
    <w:rsid w:val="008f042b"/>
    <w:rPr>
      <w:color w:val="000000"/>
      <w:spacing w:val="0"/>
      <w:w w:val="100"/>
      <w:sz w:val="19"/>
      <w:szCs w:val="19"/>
      <w:lang w:val="ro-RO" w:eastAsia="ro-RO" w:bidi="ar-SA"/>
    </w:rPr>
  </w:style>
  <w:style w:type="character" w:styleId="Szvegtrzs21" w:customStyle="1">
    <w:name w:val="Szövegtörzs (2)"/>
    <w:rsid w:val="008f042b"/>
    <w:rPr>
      <w:color w:val="000000"/>
      <w:spacing w:val="0"/>
      <w:w w:val="100"/>
      <w:sz w:val="24"/>
      <w:szCs w:val="24"/>
      <w:lang w:val="ro-RO" w:eastAsia="ro-RO" w:bidi="ar-SA"/>
    </w:rPr>
  </w:style>
  <w:style w:type="character" w:styleId="Szvegtrzs2Impact" w:customStyle="1">
    <w:name w:val="Szövegtörzs (2) + Impact"/>
    <w:rsid w:val="008f042b"/>
    <w:rPr>
      <w:rFonts w:ascii="Impact" w:hAnsi="Impact" w:eastAsia="Times New Roman" w:cs="Impact"/>
      <w:color w:val="000000"/>
      <w:spacing w:val="0"/>
      <w:w w:val="100"/>
      <w:sz w:val="19"/>
      <w:szCs w:val="19"/>
      <w:lang w:val="ro-RO" w:eastAsia="ro-RO" w:bidi="ar-SA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f042b"/>
    <w:pPr>
      <w:widowControl/>
      <w:spacing w:before="0" w:after="0"/>
      <w:ind w:left="720" w:hanging="0"/>
      <w:contextualSpacing/>
    </w:pPr>
    <w:rPr>
      <w:rFonts w:ascii="Times New Roman" w:hAnsi="Times New Roman" w:eastAsia="Times New Roman" w:cs="Times New Roman"/>
      <w:color w:val="00000A"/>
      <w:lang w:val="hu-HU" w:eastAsia="en-US"/>
    </w:rPr>
  </w:style>
  <w:style w:type="paragraph" w:styleId="Szvegtrzs211" w:customStyle="1">
    <w:name w:val="Szövegtörzs (2)1"/>
    <w:basedOn w:val="Normal"/>
    <w:link w:val="Szvegtrzs2"/>
    <w:rsid w:val="008f042b"/>
    <w:pPr>
      <w:shd w:fill="FFFFFF" w:val="clear"/>
      <w:spacing w:lineRule="exact" w:line="274"/>
      <w:jc w:val="both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eastAsia="en-US"/>
    </w:rPr>
  </w:style>
  <w:style w:type="paragraph" w:styleId="Szvegtrzs31" w:customStyle="1">
    <w:name w:val="Szövegtörzs (3)"/>
    <w:basedOn w:val="Normal"/>
    <w:link w:val="Szvegtrzs3"/>
    <w:rsid w:val="008f042b"/>
    <w:pPr>
      <w:shd w:fill="FFFFFF" w:val="clear"/>
      <w:spacing w:lineRule="atLeast" w:line="240" w:before="0" w:after="300"/>
      <w:jc w:val="both"/>
    </w:pPr>
    <w:rPr>
      <w:rFonts w:ascii="Calibri" w:hAnsi="Calibri" w:eastAsia="Calibri" w:cs="" w:asciiTheme="minorHAnsi" w:cstheme="minorBidi" w:eastAsiaTheme="minorHAnsi" w:hAnsiTheme="minorHAnsi"/>
      <w:b/>
      <w:bCs/>
      <w:color w:val="00000A"/>
      <w:sz w:val="22"/>
      <w:szCs w:val="22"/>
      <w:lang w:eastAsia="en-US"/>
    </w:rPr>
  </w:style>
  <w:style w:type="paragraph" w:styleId="Tblzatfelirata1" w:customStyle="1">
    <w:name w:val="Táblázat felirata"/>
    <w:basedOn w:val="Normal"/>
    <w:link w:val="Tblzatfelirata"/>
    <w:rsid w:val="008f042b"/>
    <w:pPr>
      <w:shd w:fill="FFFFFF" w:val="clear"/>
      <w:spacing w:lineRule="exact" w:line="278"/>
      <w:jc w:val="both"/>
    </w:pPr>
    <w:rPr>
      <w:rFonts w:ascii="Calibri" w:hAnsi="Calibri" w:eastAsia="Calibri" w:cs="" w:asciiTheme="minorHAnsi" w:cstheme="minorBidi" w:eastAsiaTheme="minorHAnsi" w:hAnsiTheme="minorHAnsi"/>
      <w:b/>
      <w:bCs/>
      <w:color w:val="00000A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LibreOffice/4.3.5.2$Windows_x86 LibreOffice_project/3a87456aaa6a95c63eea1c1b3201acedf0751bd5</Application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2017-10-02T10:18:00Z</dcterms:created>
  <dc:creator>Edit</dc:creator>
  <dc:language>ro-RO</dc:language>
  <dcterms:modified xsi:type="dcterms:W3CDTF">2017-10-03T11:15:10Z</dcterms:modified>
  <cp:revision>4</cp:revision>
</cp:coreProperties>
</file>